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10206" w:firstLine="567"/>
        <w:jc w:val="right"/>
        <w:rPr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>Приложение № 2</w:t>
      </w:r>
    </w:p>
    <w:p>
      <w:pPr>
        <w:pStyle w:val="NoSpacing"/>
        <w:ind w:left="10206" w:firstLine="567"/>
        <w:jc w:val="both"/>
        <w:rPr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к Положению о порядке формирования муниципального  задания  на оказание муниципальных услуг (выполнение работ) в отношении муниципальных учреждений и финансового обеспечения                                         выполнения муниципального задания</w:t>
      </w:r>
      <w:r>
        <w:rPr>
          <w:sz w:val="14"/>
          <w:szCs w:val="14"/>
        </w:rPr>
        <w:t xml:space="preserve">        </w:t>
      </w:r>
      <w:r>
        <w:rPr/>
        <w:t xml:space="preserve">                 </w:t>
      </w:r>
    </w:p>
    <w:p>
      <w:pPr>
        <w:pStyle w:val="Normal"/>
        <w:ind w:hanging="0"/>
        <w:jc w:val="righ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ОТЧЕТ О ВЫПОЛНЕНИИ     МУНИЦИПАЛЬНОГО ЗАДАНИЯ N </w:t>
      </w:r>
      <w:hyperlink w:anchor="Par1784" w:tgtFrame="&lt;1&gt; Указывается номер государственного задания, по которому формируется отчет.">
        <w:r>
          <w:rPr>
            <w:rFonts w:cs="Times New Roman" w:ascii="Times New Roman" w:hAnsi="Times New Roman"/>
            <w:sz w:val="24"/>
            <w:szCs w:val="24"/>
          </w:rPr>
          <w:t>&lt;1&gt;</w:t>
        </w:r>
      </w:hyperlink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2023 год и на плановый период 2024 и 2025 годов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103"/>
        <w:gridCol w:w="6095"/>
        <w:gridCol w:w="2551"/>
        <w:gridCol w:w="1701"/>
      </w:tblGrid>
      <w:tr>
        <w:trPr/>
        <w:tc>
          <w:tcPr>
            <w:tcW w:w="11198" w:type="dxa"/>
            <w:gridSpan w:val="2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/>
        <w:tc>
          <w:tcPr>
            <w:tcW w:w="5103" w:type="dxa"/>
            <w:vMerge w:val="restart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0506501</w:t>
            </w:r>
          </w:p>
        </w:tc>
      </w:tr>
      <w:tr>
        <w:trPr/>
        <w:tc>
          <w:tcPr>
            <w:tcW w:w="5103" w:type="dxa"/>
            <w:vMerge w:val="continue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«31»   декабря 2023 г. </w:t>
            </w:r>
            <w:hyperlink w:anchor="Par1785" w:tgtFrame="&lt;2&gt; Указывается дата, на которую составляется отчет.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31.12.2023</w:t>
            </w:r>
          </w:p>
        </w:tc>
      </w:tr>
      <w:tr>
        <w:trPr>
          <w:trHeight w:val="766" w:hRule="atLeast"/>
        </w:trPr>
        <w:tc>
          <w:tcPr>
            <w:tcW w:w="5103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«Усть-Ницинский культурно-досуговый центр» Усть-Ницинского сельского поселения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90.04.03</w:t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I. Сведения об оказываемых муниципальных услугах </w:t>
      </w:r>
      <w:r>
        <w:rPr>
          <w:rFonts w:cs="Times New Roman" w:ascii="Times New Roman" w:hAnsi="Times New Roman"/>
          <w:b/>
          <w:color w:val="0000FF"/>
          <w:sz w:val="24"/>
          <w:szCs w:val="24"/>
        </w:rPr>
        <w:t>&lt;3&gt;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245"/>
        <w:gridCol w:w="4535"/>
        <w:gridCol w:w="3688"/>
        <w:gridCol w:w="1982"/>
      </w:tblGrid>
      <w:tr>
        <w:trPr/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</w:t>
            </w:r>
          </w:p>
        </w:tc>
        <w:tc>
          <w:tcPr>
            <w:tcW w:w="3688" w:type="dxa"/>
            <w:tcBorders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07.011.0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68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2" w:type="dxa"/>
            <w:tcBorders>
              <w:top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фактическом  достижении  показателей,  характеризующих  объем и (или) качество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Сведения  о   фактическом  достижении   показателей,   характеризующих качество муниципальной услуги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158"/>
        <w:gridCol w:w="1466"/>
        <w:gridCol w:w="1089"/>
        <w:gridCol w:w="1089"/>
        <w:gridCol w:w="1092"/>
        <w:gridCol w:w="1090"/>
        <w:gridCol w:w="1215"/>
        <w:gridCol w:w="1089"/>
        <w:gridCol w:w="558"/>
        <w:gridCol w:w="1218"/>
        <w:gridCol w:w="1221"/>
        <w:gridCol w:w="845"/>
        <w:gridCol w:w="973"/>
        <w:gridCol w:w="1118"/>
        <w:gridCol w:w="910"/>
      </w:tblGrid>
      <w:tr>
        <w:trPr/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муниципальной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услуги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0000001001103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посещений общедоступных (публичных) библиотек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+3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посещений  сельских  библиотек  и  проведение  мероприятий</w:t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>
      <w:pPr>
        <w:pStyle w:val="ConsPlusNonformat"/>
        <w:jc w:val="both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88"/>
        <w:gridCol w:w="1096"/>
        <w:gridCol w:w="1095"/>
        <w:gridCol w:w="1095"/>
        <w:gridCol w:w="1097"/>
        <w:gridCol w:w="1103"/>
        <w:gridCol w:w="1118"/>
        <w:gridCol w:w="949"/>
        <w:gridCol w:w="706"/>
        <w:gridCol w:w="1233"/>
        <w:gridCol w:w="1239"/>
        <w:gridCol w:w="851"/>
        <w:gridCol w:w="989"/>
        <w:gridCol w:w="1125"/>
        <w:gridCol w:w="693"/>
        <w:gridCol w:w="750"/>
      </w:tblGrid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Размер платы (цена, тариф)</w:t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причина отклонения</w:t>
            </w:r>
          </w:p>
        </w:tc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2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2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0000001001103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посещений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17435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17435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29481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872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+11174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посещений  сельских  библиотек  и  проведение  мероприятий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культурно-просветительных мероприятий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642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772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szCs w:val="22"/>
                <w:shd w:fill="auto" w:val="clear"/>
              </w:rPr>
              <w:t>+ 27</w:t>
            </w:r>
          </w:p>
        </w:tc>
        <w:tc>
          <w:tcPr>
            <w:tcW w:w="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C9211E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C9211E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C9211E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II. Сведения о выполняемых работах </w:t>
      </w:r>
      <w:r>
        <w:rPr>
          <w:rFonts w:cs="Times New Roman" w:ascii="Times New Roman" w:hAnsi="Times New Roman"/>
          <w:b/>
          <w:color w:val="0000FF"/>
          <w:sz w:val="24"/>
          <w:szCs w:val="24"/>
        </w:rPr>
        <w:t>&lt;3&gt;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07.013.1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25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8"/>
        <w:gridCol w:w="1137"/>
        <w:gridCol w:w="1137"/>
        <w:gridCol w:w="1137"/>
        <w:gridCol w:w="1137"/>
        <w:gridCol w:w="1135"/>
        <w:gridCol w:w="1138"/>
        <w:gridCol w:w="940"/>
        <w:gridCol w:w="776"/>
        <w:gridCol w:w="1274"/>
        <w:gridCol w:w="1275"/>
        <w:gridCol w:w="882"/>
        <w:gridCol w:w="1118"/>
        <w:gridCol w:w="1067"/>
        <w:gridCol w:w="944"/>
      </w:tblGrid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070131000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08104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Сохранение объема фонда библиотек и по сравнению с предыдущим годом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shd w:fill="auto" w:val="clear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Объем  фонда библиотек  увеличен  на 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shd w:fill="auto" w:val="clear"/>
              </w:rPr>
              <w:t>391</w:t>
            </w:r>
            <w:r>
              <w:rPr>
                <w:rFonts w:cs="Times New Roman" w:ascii="Times New Roman" w:hAnsi="Times New Roman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экземпляров</w:t>
            </w:r>
          </w:p>
        </w:tc>
      </w:tr>
      <w:tr>
        <w:trPr/>
        <w:tc>
          <w:tcPr>
            <w:tcW w:w="1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353"/>
        <w:gridCol w:w="801"/>
        <w:gridCol w:w="1076"/>
        <w:gridCol w:w="1078"/>
        <w:gridCol w:w="1076"/>
        <w:gridCol w:w="1082"/>
        <w:gridCol w:w="959"/>
        <w:gridCol w:w="689"/>
        <w:gridCol w:w="2"/>
        <w:gridCol w:w="1273"/>
        <w:gridCol w:w="1288"/>
        <w:gridCol w:w="835"/>
        <w:gridCol w:w="972"/>
        <w:gridCol w:w="1108"/>
        <w:gridCol w:w="899"/>
        <w:gridCol w:w="691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070131000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08104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документов, выданных из фондов библиотек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22407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22407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34112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hd w:fill="auto" w:val="clear"/>
              </w:rPr>
              <w:t>+10585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сельских библиотек  в штатном  режиме (закрытие  библиотек  не  было) произошло увеличение  количества    выданных  документов и  справок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Количество справок и консультаций удаленным пользователям библиотеки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880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hd w:fill="auto" w:val="clear"/>
              </w:rPr>
              <w:t>+371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3,4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74</w:t>
            </w:r>
          </w:p>
        </w:tc>
      </w:tr>
    </w:tbl>
    <w:p>
      <w:pPr>
        <w:pStyle w:val="Normal"/>
        <w:ind w:hanging="0"/>
        <w:jc w:val="left"/>
        <w:rPr>
          <w:b/>
          <w:b/>
        </w:rPr>
      </w:pPr>
      <w:r>
        <w:rPr>
          <w:b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2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07.049.1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9"/>
        <w:gridCol w:w="1137"/>
        <w:gridCol w:w="1137"/>
        <w:gridCol w:w="1136"/>
        <w:gridCol w:w="1137"/>
        <w:gridCol w:w="1137"/>
        <w:gridCol w:w="1136"/>
        <w:gridCol w:w="940"/>
        <w:gridCol w:w="778"/>
        <w:gridCol w:w="1274"/>
        <w:gridCol w:w="1273"/>
        <w:gridCol w:w="882"/>
        <w:gridCol w:w="1018"/>
        <w:gridCol w:w="1168"/>
        <w:gridCol w:w="949"/>
      </w:tblGrid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>
          <w:trHeight w:val="2070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0704910020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0000000004102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Динамика количества участников к предыдущему отчетному году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  <w:shd w:fill="FFFF00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hd w:fill="FFFF00" w:val="clear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000005102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auto"/>
                <w:sz w:val="20"/>
                <w:shd w:fill="FFFF00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hd w:fill="FFFF00" w:val="clear"/>
              </w:rPr>
              <w:t>110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078"/>
        <w:gridCol w:w="1076"/>
        <w:gridCol w:w="1076"/>
        <w:gridCol w:w="1078"/>
        <w:gridCol w:w="1076"/>
        <w:gridCol w:w="1103"/>
        <w:gridCol w:w="938"/>
        <w:gridCol w:w="689"/>
        <w:gridCol w:w="2"/>
        <w:gridCol w:w="1273"/>
        <w:gridCol w:w="1288"/>
        <w:gridCol w:w="835"/>
        <w:gridCol w:w="972"/>
        <w:gridCol w:w="1108"/>
        <w:gridCol w:w="899"/>
        <w:gridCol w:w="691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0704910020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0000000004102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Творческие мероприятия (фестиваль, выставка, конкурс, смотр)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1798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1798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hd w:fill="auto" w:val="clear"/>
              </w:rPr>
              <w:t>2443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+555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В  связи  с  работой  учреждений   культуры  в 2023года  в штатном  режиме произошло увеличение  количества  участников  и  проведение  мероприятий.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Увеличение  количества  мероприятий и  посещений  в  связи  с   покупкой  онлайн билетов  по  Пушкиноской  карте.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12,751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47775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47775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63206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hd w:fill="auto" w:val="clear"/>
              </w:rPr>
              <w:t>+13042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23" w:hRule="atLeast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07049100100000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000005102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Культурно-массовые мероприятия (иные зрелищные мероприятия)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Места выполнения работы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hd w:fill="auto" w:val="clear"/>
              </w:rPr>
              <w:t>+2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22" w:hRule="atLeast"/>
        </w:trPr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участников мероприятий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2526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hd w:fill="auto" w:val="clear"/>
              </w:rPr>
              <w:t>+101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3</w:t>
      </w:r>
    </w:p>
    <w:p>
      <w:pPr>
        <w:pStyle w:val="ConsPlusNormal"/>
        <w:jc w:val="both"/>
        <w:rPr/>
      </w:pPr>
      <w:r>
        <w:rPr/>
      </w:r>
    </w:p>
    <w:tbl>
      <w:tblPr>
        <w:tblW w:w="15451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111"/>
        <w:gridCol w:w="6661"/>
        <w:gridCol w:w="2268"/>
        <w:gridCol w:w="2410"/>
      </w:tblGrid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2268" w:type="dxa"/>
            <w:vMerge w:val="restart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07.025.1</w:t>
            </w:r>
          </w:p>
        </w:tc>
      </w:tr>
      <w:tr>
        <w:trPr/>
        <w:tc>
          <w:tcPr>
            <w:tcW w:w="4111" w:type="dxa"/>
            <w:tcBorders/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 w:val="continue"/>
            <w:tcBorders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31" w:type="dxa"/>
        <w:jc w:val="lef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29"/>
        <w:gridCol w:w="1137"/>
        <w:gridCol w:w="1137"/>
        <w:gridCol w:w="1136"/>
        <w:gridCol w:w="1137"/>
        <w:gridCol w:w="1137"/>
        <w:gridCol w:w="1136"/>
        <w:gridCol w:w="940"/>
        <w:gridCol w:w="778"/>
        <w:gridCol w:w="1274"/>
        <w:gridCol w:w="1273"/>
        <w:gridCol w:w="882"/>
        <w:gridCol w:w="1018"/>
        <w:gridCol w:w="1168"/>
        <w:gridCol w:w="949"/>
      </w:tblGrid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качества работы</w:t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</w:tr>
      <w:tr>
        <w:trPr>
          <w:trHeight w:val="276" w:hRule="atLeast"/>
        </w:trPr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41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</w:tr>
      <w:tr>
        <w:trPr/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070251000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04103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В стационарных условиях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Прирост участников клубных формирований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hd w:fill="auto" w:val="clear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1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hd w:fill="auto" w:val="clear"/>
              </w:rPr>
              <w:t>102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FFFF00" w:val="clear"/>
              </w:rPr>
            </w:pPr>
            <w:r>
              <w:rPr>
                <w:rFonts w:cs="Times New Roman" w:ascii="Times New Roman" w:hAnsi="Times New Roman"/>
                <w:sz w:val="20"/>
                <w:shd w:fill="FFFF00" w:val="clear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 клубных  формирований не  изменилось  по  сравнению  с  предыдущим  периодом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6160" w:type="dxa"/>
        <w:jc w:val="lef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74"/>
        <w:gridCol w:w="1078"/>
        <w:gridCol w:w="1076"/>
        <w:gridCol w:w="1076"/>
        <w:gridCol w:w="1078"/>
        <w:gridCol w:w="1076"/>
        <w:gridCol w:w="1103"/>
        <w:gridCol w:w="938"/>
        <w:gridCol w:w="689"/>
        <w:gridCol w:w="2"/>
        <w:gridCol w:w="1273"/>
        <w:gridCol w:w="1288"/>
        <w:gridCol w:w="835"/>
        <w:gridCol w:w="972"/>
        <w:gridCol w:w="1108"/>
        <w:gridCol w:w="899"/>
        <w:gridCol w:w="691"/>
      </w:tblGrid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Уникальный номер реестровой записи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Показатель объема работы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Размер платы (цена, тариф)</w:t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32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значение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допустимое (возможное) отклонение </w:t>
            </w:r>
            <w:hyperlink w:anchor="Par1790" w:tgtFrame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gtFrame="&lt;8&gt; Рассчитывается при формировании отчета за год как разница показателей граф 10, 12 и 13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причина отклонения</w:t>
            </w:r>
          </w:p>
        </w:tc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показателя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наименование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код по ОКЕИ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год </w:t>
            </w:r>
            <w:hyperlink w:anchor="Par1787" w:tgtFrame="&lt;4&gt; Формируется в соответствии с государственным заданием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утверждено в муниципальном задании на отчетную дату </w:t>
            </w:r>
            <w:hyperlink w:anchor="Par1788" w:tgtFrame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исполнено на отчетную дату </w:t>
            </w:r>
            <w:hyperlink w:anchor="Par1789" w:tgtFrame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>
              <w:r>
                <w:rPr>
                  <w:rFonts w:cs="Times New Roman" w:ascii="Times New Roman" w:hAnsi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16</w:t>
            </w:r>
          </w:p>
        </w:tc>
      </w:tr>
      <w:tr>
        <w:trPr/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070251000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000000000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04103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участников клубных формирований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792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hd w:fill="auto" w:val="clear"/>
              </w:rPr>
              <w:t>1011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1011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hd w:fill="auto" w:val="clear"/>
              </w:rPr>
              <w:t>1012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hd w:fill="auto" w:val="clear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Количество  участников  не  изменилось  по  сравнению  с  предыдущим  периодом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 (уполномоченное лицо) 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Директор        </w:t>
      </w:r>
      <w:r>
        <w:rPr>
          <w:rFonts w:cs="Times New Roman" w:ascii="Times New Roman" w:hAnsi="Times New Roman"/>
          <w:sz w:val="24"/>
          <w:szCs w:val="24"/>
        </w:rPr>
        <w:t>__ ___________ _____</w:t>
      </w:r>
      <w:r>
        <w:rPr>
          <w:rFonts w:cs="Times New Roman" w:ascii="Times New Roman" w:hAnsi="Times New Roman"/>
          <w:sz w:val="24"/>
          <w:szCs w:val="24"/>
          <w:u w:val="single"/>
        </w:rPr>
        <w:t>С.А.Дорошенко</w:t>
      </w:r>
      <w:r>
        <w:rPr>
          <w:rFonts w:cs="Times New Roman" w:ascii="Times New Roman" w:hAnsi="Times New Roman"/>
          <w:sz w:val="24"/>
          <w:szCs w:val="24"/>
        </w:rPr>
        <w:t>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 (подпись)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"31" декабря     2023  г.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NoSpacing"/>
        <w:jc w:val="both"/>
        <w:rPr/>
      </w:pPr>
      <w:r>
        <w:rPr/>
      </w:r>
    </w:p>
    <w:sectPr>
      <w:type w:val="nextPage"/>
      <w:pgSz w:orient="landscape" w:w="16838" w:h="11906"/>
      <w:pgMar w:left="800" w:right="394" w:header="0" w:top="3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593"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333333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304bd"/>
    <w:pPr>
      <w:widowControl w:val="false"/>
      <w:spacing w:before="108" w:after="108"/>
      <w:ind w:hanging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133593"/>
    <w:rPr>
      <w:rFonts w:ascii="Tahoma" w:hAnsi="Tahoma" w:eastAsia="Times New Roman" w:cs="Tahoma"/>
      <w:color w:val="333333"/>
      <w:sz w:val="16"/>
      <w:szCs w:val="16"/>
      <w:lang w:eastAsia="ru-RU"/>
    </w:rPr>
  </w:style>
  <w:style w:type="character" w:styleId="Style14" w:customStyle="1">
    <w:name w:val="Интернет-ссылка"/>
    <w:basedOn w:val="DefaultParagraphFont"/>
    <w:uiPriority w:val="99"/>
    <w:unhideWhenUsed/>
    <w:rsid w:val="00121179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d304bd"/>
    <w:rPr>
      <w:rFonts w:ascii="Times New Roman CYR" w:hAnsi="Times New Roman CYR" w:eastAsia="Times New Roman" w:cs="Times New Roman CYR"/>
      <w:b/>
      <w:bCs/>
      <w:color w:val="26282F"/>
      <w:sz w:val="24"/>
      <w:szCs w:val="24"/>
      <w:lang w:eastAsia="ru-RU"/>
    </w:rPr>
  </w:style>
  <w:style w:type="character" w:styleId="Style15" w:customStyle="1">
    <w:name w:val="Цветовое выделение"/>
    <w:uiPriority w:val="99"/>
    <w:qFormat/>
    <w:rsid w:val="00d304bd"/>
    <w:rPr>
      <w:b/>
      <w:bCs/>
      <w:color w:val="26282F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Page" w:customStyle="1">
    <w:name w:val="ConsPlusTitlePage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4d00e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3359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66f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d304bd"/>
    <w:pPr>
      <w:widowControl w:val="false"/>
      <w:ind w:hanging="0"/>
    </w:pPr>
    <w:rPr>
      <w:rFonts w:ascii="Times New Roman CYR" w:hAnsi="Times New Roman CYR" w:eastAsia="" w:cs="Times New Roman CYR" w:eastAsiaTheme="minorEastAsia"/>
      <w:color w:val="auto"/>
    </w:rPr>
  </w:style>
  <w:style w:type="paragraph" w:styleId="Style23" w:customStyle="1">
    <w:name w:val="Прижатый влево"/>
    <w:basedOn w:val="Normal"/>
    <w:next w:val="Normal"/>
    <w:uiPriority w:val="99"/>
    <w:qFormat/>
    <w:rsid w:val="00d304bd"/>
    <w:pPr>
      <w:widowControl w:val="false"/>
      <w:ind w:hanging="0"/>
      <w:jc w:val="left"/>
    </w:pPr>
    <w:rPr>
      <w:rFonts w:ascii="Times New Roman CYR" w:hAnsi="Times New Roman CYR" w:eastAsia="" w:cs="Times New Roman CYR" w:eastAsiaTheme="minorEastAsia"/>
      <w:color w:val="auto"/>
    </w:rPr>
  </w:style>
  <w:style w:type="paragraph" w:styleId="FORMATTEXT" w:customStyle="1">
    <w:name w:val=".FORMATTEXT"/>
    <w:uiPriority w:val="99"/>
    <w:qFormat/>
    <w:rsid w:val="00123ff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8B5-9E16-44D8-BC93-4AF1DD9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LibreOffice/7.1.4.2$Windows_X86_64 LibreOffice_project/a529a4fab45b75fefc5b6226684193eb000654f6</Application>
  <AppVersion>15.0000</AppVersion>
  <Pages>10</Pages>
  <Words>1567</Words>
  <Characters>10890</Characters>
  <CharactersWithSpaces>12435</CharactersWithSpaces>
  <Paragraphs>520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2022-01-21T10:13:00Z</dcterms:created>
  <dc:creator>user3</dc:creator>
  <dc:description/>
  <dc:language>ru-RU</dc:language>
  <cp:lastModifiedBy/>
  <cp:lastPrinted>2023-02-02T11:17:11Z</cp:lastPrinted>
  <dcterms:modified xsi:type="dcterms:W3CDTF">2024-01-05T15:49:17Z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